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E1F5" w14:textId="77777777" w:rsidR="00B116C4" w:rsidRPr="00D95C40" w:rsidRDefault="009F4061">
      <w:pPr>
        <w:spacing w:before="200" w:after="200"/>
        <w:jc w:val="center"/>
        <w:rPr>
          <w:rFonts w:ascii="Times New Roman" w:eastAsia="Times New Roman" w:hAnsi="Times New Roman" w:cs="Times New Roman"/>
          <w:b/>
          <w:sz w:val="28"/>
          <w:szCs w:val="28"/>
        </w:rPr>
      </w:pPr>
      <w:r w:rsidRPr="00D95C40">
        <w:rPr>
          <w:rFonts w:ascii="Times New Roman" w:eastAsia="Times New Roman" w:hAnsi="Times New Roman" w:cs="Times New Roman"/>
          <w:b/>
          <w:sz w:val="28"/>
          <w:szCs w:val="28"/>
        </w:rPr>
        <w:t>MUTUAL CONFIDENTIALITY AGREEMENT</w:t>
      </w:r>
    </w:p>
    <w:p w14:paraId="75BD6AEA" w14:textId="77777777" w:rsidR="00B116C4" w:rsidRDefault="00B116C4">
      <w:pPr>
        <w:spacing w:before="200" w:after="200"/>
        <w:jc w:val="both"/>
        <w:rPr>
          <w:rFonts w:ascii="Times New Roman" w:eastAsia="Times New Roman" w:hAnsi="Times New Roman" w:cs="Times New Roman"/>
          <w:sz w:val="24"/>
          <w:szCs w:val="24"/>
        </w:rPr>
      </w:pPr>
    </w:p>
    <w:p w14:paraId="7EBB76F5" w14:textId="722EC550" w:rsidR="00B116C4" w:rsidRDefault="006A027F">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THIS </w:t>
      </w:r>
      <w:r w:rsidR="009F4061">
        <w:rPr>
          <w:rFonts w:ascii="Times New Roman" w:eastAsia="Times New Roman" w:hAnsi="Times New Roman" w:cs="Times New Roman"/>
          <w:sz w:val="24"/>
          <w:szCs w:val="24"/>
        </w:rPr>
        <w:t xml:space="preserve">CONFIDENTIALITY AGREEMENT, dated </w:t>
      </w:r>
      <w:r w:rsidR="009F4061">
        <w:rPr>
          <w:rFonts w:ascii="Times New Roman" w:eastAsia="Times New Roman" w:hAnsi="Times New Roman" w:cs="Times New Roman"/>
          <w:sz w:val="24"/>
          <w:szCs w:val="24"/>
          <w:highlight w:val="yellow"/>
        </w:rPr>
        <w:t>_______</w:t>
      </w:r>
      <w:r w:rsidR="009F4061">
        <w:rPr>
          <w:rFonts w:ascii="Times New Roman" w:eastAsia="Times New Roman" w:hAnsi="Times New Roman" w:cs="Times New Roman"/>
          <w:sz w:val="24"/>
          <w:szCs w:val="24"/>
        </w:rPr>
        <w:t xml:space="preserve"> (this “</w:t>
      </w:r>
      <w:r w:rsidR="009F4061">
        <w:rPr>
          <w:rFonts w:ascii="Times New Roman" w:eastAsia="Times New Roman" w:hAnsi="Times New Roman" w:cs="Times New Roman"/>
          <w:b/>
          <w:sz w:val="24"/>
          <w:szCs w:val="24"/>
        </w:rPr>
        <w:t>Agreement</w:t>
      </w:r>
      <w:r w:rsidR="009F4061">
        <w:rPr>
          <w:rFonts w:ascii="Times New Roman" w:eastAsia="Times New Roman" w:hAnsi="Times New Roman" w:cs="Times New Roman"/>
          <w:sz w:val="24"/>
          <w:szCs w:val="24"/>
        </w:rPr>
        <w:t xml:space="preserve">”), among </w:t>
      </w:r>
      <w:r w:rsidR="009F4061">
        <w:rPr>
          <w:rFonts w:ascii="Times New Roman" w:eastAsia="Times New Roman" w:hAnsi="Times New Roman" w:cs="Times New Roman"/>
          <w:b/>
          <w:sz w:val="24"/>
          <w:szCs w:val="24"/>
          <w:highlight w:val="yellow"/>
        </w:rPr>
        <w:t>VIETNAM ESPORTS AND ENTERTAINMEN</w:t>
      </w:r>
      <w:r w:rsidR="009F4061" w:rsidRPr="006A027F">
        <w:rPr>
          <w:rFonts w:ascii="Times New Roman" w:eastAsia="Times New Roman" w:hAnsi="Times New Roman" w:cs="Times New Roman"/>
          <w:b/>
          <w:sz w:val="24"/>
          <w:szCs w:val="24"/>
          <w:highlight w:val="yellow"/>
        </w:rPr>
        <w:t>T</w:t>
      </w:r>
      <w:r w:rsidRPr="006A027F">
        <w:rPr>
          <w:rFonts w:ascii="Times New Roman" w:eastAsia="Times New Roman" w:hAnsi="Times New Roman" w:cs="Times New Roman"/>
          <w:b/>
          <w:sz w:val="24"/>
          <w:szCs w:val="24"/>
          <w:highlight w:val="yellow"/>
          <w:lang w:val="en-US"/>
        </w:rPr>
        <w:t xml:space="preserve"> JOINT STOCK COMPANY</w:t>
      </w:r>
      <w:r w:rsidR="009F4061">
        <w:rPr>
          <w:rFonts w:ascii="Times New Roman" w:eastAsia="Times New Roman" w:hAnsi="Times New Roman" w:cs="Times New Roman"/>
          <w:sz w:val="24"/>
          <w:szCs w:val="24"/>
        </w:rPr>
        <w:t xml:space="preserve">, a company organized and existing under the laws of Vietnam and having its </w:t>
      </w:r>
      <w:r>
        <w:rPr>
          <w:rFonts w:ascii="Times New Roman" w:eastAsia="Times New Roman" w:hAnsi="Times New Roman" w:cs="Times New Roman"/>
          <w:sz w:val="24"/>
          <w:szCs w:val="24"/>
          <w:lang w:val="en-US"/>
        </w:rPr>
        <w:t>registered</w:t>
      </w:r>
      <w:r w:rsidR="009F40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address</w:t>
      </w:r>
      <w:r w:rsidR="009F4061">
        <w:rPr>
          <w:rFonts w:ascii="Times New Roman" w:eastAsia="Times New Roman" w:hAnsi="Times New Roman" w:cs="Times New Roman"/>
          <w:sz w:val="24"/>
          <w:szCs w:val="24"/>
        </w:rPr>
        <w:t xml:space="preserve"> </w:t>
      </w:r>
      <w:r w:rsidR="009F4061">
        <w:rPr>
          <w:rFonts w:ascii="Times New Roman" w:eastAsia="Times New Roman" w:hAnsi="Times New Roman" w:cs="Times New Roman"/>
          <w:sz w:val="24"/>
          <w:szCs w:val="24"/>
        </w:rPr>
        <w:t xml:space="preserve">at </w:t>
      </w:r>
      <w:r w:rsidR="009F4061">
        <w:rPr>
          <w:rFonts w:ascii="Times New Roman" w:eastAsia="Times New Roman" w:hAnsi="Times New Roman" w:cs="Times New Roman"/>
          <w:sz w:val="24"/>
          <w:szCs w:val="24"/>
          <w:highlight w:val="yellow"/>
        </w:rPr>
        <w:t>Address of Company 1</w:t>
      </w:r>
      <w:r w:rsidR="009F4061">
        <w:rPr>
          <w:rFonts w:ascii="Times New Roman" w:eastAsia="Times New Roman" w:hAnsi="Times New Roman" w:cs="Times New Roman"/>
          <w:sz w:val="24"/>
          <w:szCs w:val="24"/>
        </w:rPr>
        <w:t xml:space="preserve"> (“</w:t>
      </w:r>
      <w:commentRangeStart w:id="0"/>
      <w:r w:rsidR="009F4061">
        <w:rPr>
          <w:rFonts w:ascii="Times New Roman" w:eastAsia="Times New Roman" w:hAnsi="Times New Roman" w:cs="Times New Roman"/>
          <w:sz w:val="24"/>
          <w:szCs w:val="24"/>
          <w:highlight w:val="yellow"/>
        </w:rPr>
        <w:t>Short name of Company 1</w:t>
      </w:r>
      <w:commentRangeEnd w:id="0"/>
      <w:r w:rsidR="009F4061">
        <w:commentReference w:id="0"/>
      </w:r>
      <w:r w:rsidR="009F4061">
        <w:rPr>
          <w:rFonts w:ascii="Times New Roman" w:eastAsia="Times New Roman" w:hAnsi="Times New Roman" w:cs="Times New Roman"/>
          <w:sz w:val="24"/>
          <w:szCs w:val="24"/>
        </w:rPr>
        <w:t xml:space="preserve">”) and </w:t>
      </w:r>
      <w:r w:rsidR="009F4061">
        <w:rPr>
          <w:rFonts w:ascii="Times New Roman" w:eastAsia="Times New Roman" w:hAnsi="Times New Roman" w:cs="Times New Roman"/>
          <w:b/>
          <w:sz w:val="24"/>
          <w:szCs w:val="24"/>
          <w:highlight w:val="yellow"/>
        </w:rPr>
        <w:t>Company Name 2</w:t>
      </w:r>
      <w:r w:rsidR="009F4061">
        <w:rPr>
          <w:rFonts w:ascii="Times New Roman" w:eastAsia="Times New Roman" w:hAnsi="Times New Roman" w:cs="Times New Roman"/>
          <w:sz w:val="24"/>
          <w:szCs w:val="24"/>
        </w:rPr>
        <w:t xml:space="preserve">, a company </w:t>
      </w:r>
      <w:r>
        <w:rPr>
          <w:rFonts w:ascii="Times New Roman" w:eastAsia="Times New Roman" w:hAnsi="Times New Roman" w:cs="Times New Roman"/>
          <w:sz w:val="24"/>
          <w:szCs w:val="24"/>
        </w:rPr>
        <w:t xml:space="preserve">organized and existing under the laws of Vietnam </w:t>
      </w:r>
      <w:r w:rsidR="009F4061">
        <w:rPr>
          <w:rFonts w:ascii="Times New Roman" w:eastAsia="Times New Roman" w:hAnsi="Times New Roman" w:cs="Times New Roman"/>
          <w:sz w:val="24"/>
          <w:szCs w:val="24"/>
        </w:rPr>
        <w:t>and having its regi</w:t>
      </w:r>
      <w:r w:rsidR="009F4061">
        <w:rPr>
          <w:rFonts w:ascii="Times New Roman" w:eastAsia="Times New Roman" w:hAnsi="Times New Roman" w:cs="Times New Roman"/>
          <w:sz w:val="24"/>
          <w:szCs w:val="24"/>
        </w:rPr>
        <w:t>stered address at</w:t>
      </w:r>
      <w:r w:rsidR="009F406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yellow"/>
        </w:rPr>
        <w:t xml:space="preserve">Address of Company </w:t>
      </w:r>
      <w:r w:rsidRPr="006A027F">
        <w:rPr>
          <w:rFonts w:ascii="Times New Roman" w:eastAsia="Times New Roman" w:hAnsi="Times New Roman" w:cs="Times New Roman"/>
          <w:sz w:val="24"/>
          <w:szCs w:val="24"/>
          <w:highlight w:val="yellow"/>
          <w:lang w:val="en-US"/>
        </w:rPr>
        <w:t>2</w:t>
      </w:r>
      <w:r>
        <w:rPr>
          <w:rFonts w:ascii="Times New Roman" w:eastAsia="Times New Roman" w:hAnsi="Times New Roman" w:cs="Times New Roman"/>
          <w:sz w:val="24"/>
          <w:szCs w:val="24"/>
        </w:rPr>
        <w:t xml:space="preserve"> </w:t>
      </w:r>
      <w:r w:rsidR="009F4061">
        <w:rPr>
          <w:rFonts w:ascii="Times New Roman" w:eastAsia="Times New Roman" w:hAnsi="Times New Roman" w:cs="Times New Roman"/>
          <w:sz w:val="24"/>
          <w:szCs w:val="24"/>
        </w:rPr>
        <w:t xml:space="preserve">(together with </w:t>
      </w:r>
      <w:r w:rsidR="009F4061" w:rsidRPr="006A027F">
        <w:rPr>
          <w:rFonts w:ascii="Times New Roman" w:eastAsia="Times New Roman" w:hAnsi="Times New Roman" w:cs="Times New Roman"/>
          <w:sz w:val="24"/>
          <w:szCs w:val="24"/>
          <w:highlight w:val="yellow"/>
        </w:rPr>
        <w:t>Short name of Company 1</w:t>
      </w:r>
      <w:r w:rsidR="009F4061">
        <w:rPr>
          <w:rFonts w:ascii="Times New Roman" w:eastAsia="Times New Roman" w:hAnsi="Times New Roman" w:cs="Times New Roman"/>
          <w:sz w:val="24"/>
          <w:szCs w:val="24"/>
        </w:rPr>
        <w:t>, the “</w:t>
      </w:r>
      <w:r w:rsidR="009F4061">
        <w:rPr>
          <w:rFonts w:ascii="Times New Roman" w:eastAsia="Times New Roman" w:hAnsi="Times New Roman" w:cs="Times New Roman"/>
          <w:b/>
          <w:sz w:val="24"/>
          <w:szCs w:val="24"/>
        </w:rPr>
        <w:t>Parties</w:t>
      </w:r>
      <w:r w:rsidR="009F4061">
        <w:rPr>
          <w:rFonts w:ascii="Times New Roman" w:eastAsia="Times New Roman" w:hAnsi="Times New Roman" w:cs="Times New Roman"/>
          <w:sz w:val="24"/>
          <w:szCs w:val="24"/>
        </w:rPr>
        <w:t xml:space="preserve">”).  </w:t>
      </w:r>
    </w:p>
    <w:p w14:paraId="78CFA131" w14:textId="77777777" w:rsidR="00B116C4" w:rsidRDefault="009F4061">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 Parties hereto wish to evaluate a potential transaction between the Parties (</w:t>
      </w:r>
      <w:r>
        <w:rPr>
          <w:rFonts w:ascii="Times New Roman" w:eastAsia="Times New Roman" w:hAnsi="Times New Roman" w:cs="Times New Roman"/>
          <w:i/>
          <w:sz w:val="24"/>
          <w:szCs w:val="24"/>
        </w:rPr>
        <w:t>the “</w:t>
      </w:r>
      <w:r>
        <w:rPr>
          <w:rFonts w:ascii="Times New Roman" w:eastAsia="Times New Roman" w:hAnsi="Times New Roman" w:cs="Times New Roman"/>
          <w:b/>
          <w:i/>
          <w:sz w:val="24"/>
          <w:szCs w:val="24"/>
        </w:rPr>
        <w:t>Transaction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 each Party wishes to disclose its Confidential </w:t>
      </w:r>
      <w:r>
        <w:rPr>
          <w:rFonts w:ascii="Times New Roman" w:eastAsia="Times New Roman" w:hAnsi="Times New Roman" w:cs="Times New Roman"/>
          <w:sz w:val="24"/>
          <w:szCs w:val="24"/>
        </w:rPr>
        <w:t>Information (as hereinafter defined) to the other Party.</w:t>
      </w:r>
    </w:p>
    <w:p w14:paraId="5067CF4F" w14:textId="77777777" w:rsidR="00B116C4" w:rsidRDefault="009F4061">
      <w:pPr>
        <w:spacing w:before="200" w:after="20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a Party in its capacity as a recipient of Confidential Information of the other Party is hereinafter referred to as the “</w:t>
      </w:r>
      <w:r>
        <w:rPr>
          <w:rFonts w:ascii="Times New Roman" w:eastAsia="Times New Roman" w:hAnsi="Times New Roman" w:cs="Times New Roman"/>
          <w:b/>
          <w:sz w:val="24"/>
          <w:szCs w:val="24"/>
        </w:rPr>
        <w:t>Receiving Party</w:t>
      </w:r>
      <w:r>
        <w:rPr>
          <w:rFonts w:ascii="Times New Roman" w:eastAsia="Times New Roman" w:hAnsi="Times New Roman" w:cs="Times New Roman"/>
          <w:sz w:val="24"/>
          <w:szCs w:val="24"/>
        </w:rPr>
        <w:t>”, and a Party (together with its subsidiaries and aff</w:t>
      </w:r>
      <w:r>
        <w:rPr>
          <w:rFonts w:ascii="Times New Roman" w:eastAsia="Times New Roman" w:hAnsi="Times New Roman" w:cs="Times New Roman"/>
          <w:sz w:val="24"/>
          <w:szCs w:val="24"/>
        </w:rPr>
        <w:t>iliates) in its capacity as a discloser of its Confidential Information to the other Parties is hereinafter referred to as the “</w:t>
      </w:r>
      <w:r>
        <w:rPr>
          <w:rFonts w:ascii="Times New Roman" w:eastAsia="Times New Roman" w:hAnsi="Times New Roman" w:cs="Times New Roman"/>
          <w:b/>
          <w:sz w:val="24"/>
          <w:szCs w:val="24"/>
        </w:rPr>
        <w:t>Disclosing Party</w:t>
      </w:r>
      <w:r>
        <w:rPr>
          <w:rFonts w:ascii="Times New Roman" w:eastAsia="Times New Roman" w:hAnsi="Times New Roman" w:cs="Times New Roman"/>
          <w:sz w:val="24"/>
          <w:szCs w:val="24"/>
        </w:rPr>
        <w:t>”.</w:t>
      </w:r>
    </w:p>
    <w:p w14:paraId="3988E2F1" w14:textId="77777777" w:rsidR="00B116C4" w:rsidRDefault="009F4061">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NOW, THEREFORE</w:t>
      </w:r>
      <w:r>
        <w:rPr>
          <w:rFonts w:ascii="Times New Roman" w:eastAsia="Times New Roman" w:hAnsi="Times New Roman" w:cs="Times New Roman"/>
          <w:sz w:val="24"/>
          <w:szCs w:val="24"/>
        </w:rPr>
        <w:t>, in consideration of the disclosure of Confidential Information, the Parties hereby agree as f</w:t>
      </w:r>
      <w:r>
        <w:rPr>
          <w:rFonts w:ascii="Times New Roman" w:eastAsia="Times New Roman" w:hAnsi="Times New Roman" w:cs="Times New Roman"/>
          <w:sz w:val="24"/>
          <w:szCs w:val="24"/>
        </w:rPr>
        <w:t>ollows:</w:t>
      </w:r>
    </w:p>
    <w:p w14:paraId="5376F7D7"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Confidential Information</w:t>
      </w:r>
      <w:r>
        <w:rPr>
          <w:rFonts w:ascii="Times New Roman" w:eastAsia="Times New Roman" w:hAnsi="Times New Roman" w:cs="Times New Roman"/>
          <w:sz w:val="24"/>
          <w:szCs w:val="24"/>
        </w:rPr>
        <w:t>” means, with respect to a Disclosing Party, all information, whether written or oral, that may be disclosed or made available by the Disclosing Party to the Receiving Party and its Representatives (as hereinafter defined), including, but not limited to (a</w:t>
      </w:r>
      <w:r>
        <w:rPr>
          <w:rFonts w:ascii="Times New Roman" w:eastAsia="Times New Roman" w:hAnsi="Times New Roman" w:cs="Times New Roman"/>
          <w:sz w:val="24"/>
          <w:szCs w:val="24"/>
        </w:rPr>
        <w:t>) performance, technical, financial, commercial or other information which relates to the business, financial affairs, methods of operation or proposed methods of operation, accounts, transactions or products, proposed transactions, investment prospects, s</w:t>
      </w:r>
      <w:r>
        <w:rPr>
          <w:rFonts w:ascii="Times New Roman" w:eastAsia="Times New Roman" w:hAnsi="Times New Roman" w:cs="Times New Roman"/>
          <w:sz w:val="24"/>
          <w:szCs w:val="24"/>
        </w:rPr>
        <w:t xml:space="preserve">ecurity procedures, trade secrets, know-how, inventions, internal controls and systems of the Disclosing Party, its subsidiaries and its affiliates; (b) information or data which is confidential or proprietary to a third party and which has been disclosed </w:t>
      </w:r>
      <w:r>
        <w:rPr>
          <w:rFonts w:ascii="Times New Roman" w:eastAsia="Times New Roman" w:hAnsi="Times New Roman" w:cs="Times New Roman"/>
          <w:sz w:val="24"/>
          <w:szCs w:val="24"/>
        </w:rPr>
        <w:t>to or is in the possession or control of the Disclosing Party; (c) this Agreement and the fact that the Confidential Information has been disclosed by the Disclosing Party; (d) all data, notes, summaries or other works derived from the information specifie</w:t>
      </w:r>
      <w:r>
        <w:rPr>
          <w:rFonts w:ascii="Times New Roman" w:eastAsia="Times New Roman" w:hAnsi="Times New Roman" w:cs="Times New Roman"/>
          <w:sz w:val="24"/>
          <w:szCs w:val="24"/>
        </w:rPr>
        <w:t>d above; and (e) any potential terms of the Transaction discussed among the Parties.</w:t>
      </w:r>
    </w:p>
    <w:p w14:paraId="160EC71A"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Receiving Party shall keep the Confidential Information strictly confidential and shall not, without the Disclosing Party’s prior written consent, disclose any Confide</w:t>
      </w:r>
      <w:r>
        <w:rPr>
          <w:rFonts w:ascii="Times New Roman" w:eastAsia="Times New Roman" w:hAnsi="Times New Roman" w:cs="Times New Roman"/>
          <w:sz w:val="24"/>
          <w:szCs w:val="24"/>
        </w:rPr>
        <w:t>ntial Information, in whole or in part. The Receiving Party will employ all reasonable measures to protect the Confidential Information from unauthorized or inadvertent disclosure, including measures no less protective than those measures that the Receivin</w:t>
      </w:r>
      <w:r>
        <w:rPr>
          <w:rFonts w:ascii="Times New Roman" w:eastAsia="Times New Roman" w:hAnsi="Times New Roman" w:cs="Times New Roman"/>
          <w:sz w:val="24"/>
          <w:szCs w:val="24"/>
        </w:rPr>
        <w:t>g Party employs to protect its own information. In addition, the Receiving Party agrees to only make such copies of the Confidential Information to the extent necessary to evaluate the Transaction. Notwithstanding the foregoing, the Receiving Party may rev</w:t>
      </w:r>
      <w:r>
        <w:rPr>
          <w:rFonts w:ascii="Times New Roman" w:eastAsia="Times New Roman" w:hAnsi="Times New Roman" w:cs="Times New Roman"/>
          <w:sz w:val="24"/>
          <w:szCs w:val="24"/>
        </w:rPr>
        <w:t xml:space="preserve">eal the </w:t>
      </w:r>
      <w:r>
        <w:rPr>
          <w:rFonts w:ascii="Times New Roman" w:eastAsia="Times New Roman" w:hAnsi="Times New Roman" w:cs="Times New Roman"/>
          <w:sz w:val="24"/>
          <w:szCs w:val="24"/>
        </w:rPr>
        <w:lastRenderedPageBreak/>
        <w:t>Confidential Information to its and its subsidiaries’ and affiliates’ officers, directors, employees, agents and advisers (collectively, “</w:t>
      </w:r>
      <w:r>
        <w:rPr>
          <w:rFonts w:ascii="Times New Roman" w:eastAsia="Times New Roman" w:hAnsi="Times New Roman" w:cs="Times New Roman"/>
          <w:b/>
          <w:i/>
          <w:sz w:val="24"/>
          <w:szCs w:val="24"/>
        </w:rPr>
        <w:t>Representatives</w:t>
      </w:r>
      <w:r>
        <w:rPr>
          <w:rFonts w:ascii="Times New Roman" w:eastAsia="Times New Roman" w:hAnsi="Times New Roman" w:cs="Times New Roman"/>
          <w:sz w:val="24"/>
          <w:szCs w:val="24"/>
        </w:rPr>
        <w:t>”) who have a need to know the Confidential Information for the purpose of evaluating the Trans</w:t>
      </w:r>
      <w:r>
        <w:rPr>
          <w:rFonts w:ascii="Times New Roman" w:eastAsia="Times New Roman" w:hAnsi="Times New Roman" w:cs="Times New Roman"/>
          <w:sz w:val="24"/>
          <w:szCs w:val="24"/>
        </w:rPr>
        <w:t>action and who are obligated to maintain the confidentiality of the Confidential Information. The Receiving Party shall be responsible for any breach of this Agreement by any of its Representatives, except where the relevant Representative has separately e</w:t>
      </w:r>
      <w:r>
        <w:rPr>
          <w:rFonts w:ascii="Times New Roman" w:eastAsia="Times New Roman" w:hAnsi="Times New Roman" w:cs="Times New Roman"/>
          <w:sz w:val="24"/>
          <w:szCs w:val="24"/>
        </w:rPr>
        <w:t>ntered into a confidentiality undertaking with the Disclosing Party in connection with the Confidential Information. The Receiving Party shall notify the Disclosing Party as soon as reasonably practicable upon becoming aware of any unauthorized use, copyin</w:t>
      </w:r>
      <w:r>
        <w:rPr>
          <w:rFonts w:ascii="Times New Roman" w:eastAsia="Times New Roman" w:hAnsi="Times New Roman" w:cs="Times New Roman"/>
          <w:sz w:val="24"/>
          <w:szCs w:val="24"/>
        </w:rPr>
        <w:t>g or disclosure of any Confidential Information.</w:t>
      </w:r>
    </w:p>
    <w:p w14:paraId="4FF8FBAC"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discussions concerning a Transaction terminate or at any time upon the Disclosing Party’s written request, the Receiving Party shall destroy or expunge all copies of Confidential Informatio</w:t>
      </w:r>
      <w:r>
        <w:rPr>
          <w:rFonts w:ascii="Times New Roman" w:eastAsia="Times New Roman" w:hAnsi="Times New Roman" w:cs="Times New Roman"/>
          <w:sz w:val="24"/>
          <w:szCs w:val="24"/>
        </w:rPr>
        <w:t>n either supplied to, or made by, the Receiving Party and its Representatives, and use its reasonable efforts to procure that any Representative or other person to whom Confidential Information has been disclosed in accordance with this Agreement have comp</w:t>
      </w:r>
      <w:r>
        <w:rPr>
          <w:rFonts w:ascii="Times New Roman" w:eastAsia="Times New Roman" w:hAnsi="Times New Roman" w:cs="Times New Roman"/>
          <w:sz w:val="24"/>
          <w:szCs w:val="24"/>
        </w:rPr>
        <w:t>lied with this Section 3. Notwithstanding the destruction of the Confidential Information, the Receiving Party and its Representatives will continue to be bound by the obligations of confidentiality hereunder respecting Confidential Information. Notwithsta</w:t>
      </w:r>
      <w:r>
        <w:rPr>
          <w:rFonts w:ascii="Times New Roman" w:eastAsia="Times New Roman" w:hAnsi="Times New Roman" w:cs="Times New Roman"/>
          <w:sz w:val="24"/>
          <w:szCs w:val="24"/>
        </w:rPr>
        <w:t>nding the foregoing, each of the Receiving Party and, where applicable, its Representatives, shall be permitted to retain such copies of the Confidential Information as it may reasonably require to comply with its legal and/or regulatory obligations and/or</w:t>
      </w:r>
      <w:r>
        <w:rPr>
          <w:rFonts w:ascii="Times New Roman" w:eastAsia="Times New Roman" w:hAnsi="Times New Roman" w:cs="Times New Roman"/>
          <w:sz w:val="24"/>
          <w:szCs w:val="24"/>
        </w:rPr>
        <w:t xml:space="preserve"> to comply with its internal compliance procedures and/or document retention policies.</w:t>
      </w:r>
    </w:p>
    <w:p w14:paraId="1DDBDD6A"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shall be inoperative as to such portions of the Confidential Information which (i) are or become generally available to the public through no fault of or </w:t>
      </w:r>
      <w:r>
        <w:rPr>
          <w:rFonts w:ascii="Times New Roman" w:eastAsia="Times New Roman" w:hAnsi="Times New Roman" w:cs="Times New Roman"/>
          <w:sz w:val="24"/>
          <w:szCs w:val="24"/>
        </w:rPr>
        <w:t>action by the Receiving Party or its Representatives, (ii) were already known to the Receiving Party or its Representatives or (iii) were or became available to the Receiving Party or its Representatives on a non-confidential basis from a source, other tha</w:t>
      </w:r>
      <w:r>
        <w:rPr>
          <w:rFonts w:ascii="Times New Roman" w:eastAsia="Times New Roman" w:hAnsi="Times New Roman" w:cs="Times New Roman"/>
          <w:sz w:val="24"/>
          <w:szCs w:val="24"/>
        </w:rPr>
        <w:t>n the Disclosing Party or its Representatives, which is not prohibited from disclosing such portions to the Receiving Party or its Representatives by a contractual, legal or fiduciary obligation to the Disclosing Party or any other person.</w:t>
      </w:r>
    </w:p>
    <w:p w14:paraId="16C9DC84"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w:t>
      </w:r>
      <w:r>
        <w:rPr>
          <w:rFonts w:ascii="Times New Roman" w:eastAsia="Times New Roman" w:hAnsi="Times New Roman" w:cs="Times New Roman"/>
          <w:sz w:val="24"/>
          <w:szCs w:val="24"/>
        </w:rPr>
        <w:t>t Receiving Party or any of its Representatives becomes legally compelled or is requested by any regulatory agency, stock exchange or authority to disclose any of the Confidential Information, the Receiving Party shall, prior to making any disclosure and t</w:t>
      </w:r>
      <w:r>
        <w:rPr>
          <w:rFonts w:ascii="Times New Roman" w:eastAsia="Times New Roman" w:hAnsi="Times New Roman" w:cs="Times New Roman"/>
          <w:sz w:val="24"/>
          <w:szCs w:val="24"/>
        </w:rPr>
        <w:t>o the extent permitted by applicable law, provide the Disclosing Party with prompt written notice so that the Disclosing Party may seek a protective order or other appropriate remedy and/or waive compliance with the provisions of this Agreement. In the eve</w:t>
      </w:r>
      <w:r>
        <w:rPr>
          <w:rFonts w:ascii="Times New Roman" w:eastAsia="Times New Roman" w:hAnsi="Times New Roman" w:cs="Times New Roman"/>
          <w:sz w:val="24"/>
          <w:szCs w:val="24"/>
        </w:rPr>
        <w:t>nt that such protective order or other remedy is not obtained, or that the Disclosing Party waives compliance with the provisions of this Agreement, the Receiving Party or its Representatives will furnish only that portion of the Confidential Information w</w:t>
      </w:r>
      <w:r>
        <w:rPr>
          <w:rFonts w:ascii="Times New Roman" w:eastAsia="Times New Roman" w:hAnsi="Times New Roman" w:cs="Times New Roman"/>
          <w:sz w:val="24"/>
          <w:szCs w:val="24"/>
        </w:rPr>
        <w:t xml:space="preserve">hich is legally required. Where it is not reasonably practicable for the Receiving Party to notify the Disclosing Party in advance of any disclosure requirement or request as set out above, </w:t>
      </w:r>
      <w:r>
        <w:rPr>
          <w:rFonts w:ascii="Times New Roman" w:eastAsia="Times New Roman" w:hAnsi="Times New Roman" w:cs="Times New Roman"/>
          <w:sz w:val="24"/>
          <w:szCs w:val="24"/>
        </w:rPr>
        <w:lastRenderedPageBreak/>
        <w:t>the Receiving Party shall, to the extent permitted by applicable l</w:t>
      </w:r>
      <w:r>
        <w:rPr>
          <w:rFonts w:ascii="Times New Roman" w:eastAsia="Times New Roman" w:hAnsi="Times New Roman" w:cs="Times New Roman"/>
          <w:sz w:val="24"/>
          <w:szCs w:val="24"/>
        </w:rPr>
        <w:t>aw, notify the Disclosing Party of any disclosure made by it as soon as reasonably practicable thereafter.</w:t>
      </w:r>
    </w:p>
    <w:p w14:paraId="591D5F7C"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the unique nature of the Confidential Information, the Receiving Party understands and agrees that Disclosing Party may suffer irreparable</w:t>
      </w:r>
      <w:r>
        <w:rPr>
          <w:rFonts w:ascii="Times New Roman" w:eastAsia="Times New Roman" w:hAnsi="Times New Roman" w:cs="Times New Roman"/>
          <w:sz w:val="24"/>
          <w:szCs w:val="24"/>
        </w:rPr>
        <w:t xml:space="preserve"> harm in the event that the Receiving Party or any of its Representatives fails to comply with any of its obligations hereunder, that monetary damages will be inadequate to compensate Disclosing Party for such a breach and that in addition to any other leg</w:t>
      </w:r>
      <w:r>
        <w:rPr>
          <w:rFonts w:ascii="Times New Roman" w:eastAsia="Times New Roman" w:hAnsi="Times New Roman" w:cs="Times New Roman"/>
          <w:sz w:val="24"/>
          <w:szCs w:val="24"/>
        </w:rPr>
        <w:t xml:space="preserve">al remedies, the Disclosing Party may seek equitable relief, including injunction and specific performance, as a remedy for any such breach.  </w:t>
      </w:r>
    </w:p>
    <w:p w14:paraId="56E50657"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may be terminated by mutual agreement between the Parties or on the date which the Parties enter i</w:t>
      </w:r>
      <w:r>
        <w:rPr>
          <w:rFonts w:ascii="Times New Roman" w:eastAsia="Times New Roman" w:hAnsi="Times New Roman" w:cs="Times New Roman"/>
          <w:sz w:val="24"/>
          <w:szCs w:val="24"/>
        </w:rPr>
        <w:t>nto an agreement for the Transaction, whichever earlier.  The obligations in this Agreement shall survive for a period of two (2) years after termination.</w:t>
      </w:r>
    </w:p>
    <w:p w14:paraId="2B311FD5"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may not be amended, and no provision hereof may be waived, without the prior written c</w:t>
      </w:r>
      <w:r>
        <w:rPr>
          <w:rFonts w:ascii="Times New Roman" w:eastAsia="Times New Roman" w:hAnsi="Times New Roman" w:cs="Times New Roman"/>
          <w:sz w:val="24"/>
          <w:szCs w:val="24"/>
        </w:rPr>
        <w:t>onsent of the Parties.</w:t>
      </w:r>
    </w:p>
    <w:p w14:paraId="169EFB42"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of the Parties hereby acknowledges that all Confidential Information shall be and remain the sole property of the Disclosing Party. Neither of the Parties grants any license, any other intellectual property rights, immunity or o</w:t>
      </w:r>
      <w:r>
        <w:rPr>
          <w:rFonts w:ascii="Times New Roman" w:eastAsia="Times New Roman" w:hAnsi="Times New Roman" w:cs="Times New Roman"/>
          <w:sz w:val="24"/>
          <w:szCs w:val="24"/>
        </w:rPr>
        <w:t>therwise, to the other Party by this Agreement. None of the Parties hereto shall have any commitment or obligation to the other Party to enter into a further agreement with the respect to the subject matter hereof or otherwise to develop, market, sell or o</w:t>
      </w:r>
      <w:r>
        <w:rPr>
          <w:rFonts w:ascii="Times New Roman" w:eastAsia="Times New Roman" w:hAnsi="Times New Roman" w:cs="Times New Roman"/>
          <w:sz w:val="24"/>
          <w:szCs w:val="24"/>
        </w:rPr>
        <w:t>therwise merchandise products utilizing or incorporating the Confidential Information.</w:t>
      </w:r>
    </w:p>
    <w:p w14:paraId="6C19D463"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Neither Party may assign or transfer any rights or obligations, whether in whole or in part, under this Agreement without the prior written consent of the other Party in</w:t>
      </w:r>
      <w:r>
        <w:rPr>
          <w:rFonts w:ascii="Times New Roman" w:eastAsia="Times New Roman" w:hAnsi="Times New Roman" w:cs="Times New Roman"/>
          <w:sz w:val="24"/>
          <w:szCs w:val="24"/>
        </w:rPr>
        <w:t xml:space="preserve"> each case. Any attempted or purported assignment or other such transfer by either of the Parties to any third party without the other Party’s consent shall be void and a breach of this Agreement.</w:t>
      </w:r>
    </w:p>
    <w:p w14:paraId="35F5C9C2"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Party nor its respective Representatives have made </w:t>
      </w:r>
      <w:r>
        <w:rPr>
          <w:rFonts w:ascii="Times New Roman" w:eastAsia="Times New Roman" w:hAnsi="Times New Roman" w:cs="Times New Roman"/>
          <w:sz w:val="24"/>
          <w:szCs w:val="24"/>
        </w:rPr>
        <w:t>any express or implied representation or warranty as to the accuracy, completeness, or non-infringement of the Confidential Information, and neither of the Parties and/or their respective Representatives shall have any liability relating to the Confidentia</w:t>
      </w:r>
      <w:r>
        <w:rPr>
          <w:rFonts w:ascii="Times New Roman" w:eastAsia="Times New Roman" w:hAnsi="Times New Roman" w:cs="Times New Roman"/>
          <w:sz w:val="24"/>
          <w:szCs w:val="24"/>
        </w:rPr>
        <w:t>l Information.</w:t>
      </w:r>
    </w:p>
    <w:p w14:paraId="3149F19E"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shall be governed by and construed under the laws of Vietnam. In the event any dispute, controversy, claim or difference of any kind whatsoever arising between the Parties in connection with this Agreement, including the breac</w:t>
      </w:r>
      <w:r>
        <w:rPr>
          <w:rFonts w:ascii="Times New Roman" w:eastAsia="Times New Roman" w:hAnsi="Times New Roman" w:cs="Times New Roman"/>
          <w:sz w:val="24"/>
          <w:szCs w:val="24"/>
        </w:rPr>
        <w:t>h, termination or validity of this Agreement, or in connection with the determination of any matters which are subject to objective determination pursuant to this Agreement (“</w:t>
      </w:r>
      <w:r>
        <w:rPr>
          <w:rFonts w:ascii="Times New Roman" w:eastAsia="Times New Roman" w:hAnsi="Times New Roman" w:cs="Times New Roman"/>
          <w:b/>
          <w:sz w:val="24"/>
          <w:szCs w:val="24"/>
        </w:rPr>
        <w:t>Dispute</w:t>
      </w:r>
      <w:r>
        <w:rPr>
          <w:rFonts w:ascii="Times New Roman" w:eastAsia="Times New Roman" w:hAnsi="Times New Roman" w:cs="Times New Roman"/>
          <w:sz w:val="24"/>
          <w:szCs w:val="24"/>
        </w:rPr>
        <w:t>”), which Dispute has been subject of a written notice by one Party to the</w:t>
      </w:r>
      <w:r>
        <w:rPr>
          <w:rFonts w:ascii="Times New Roman" w:eastAsia="Times New Roman" w:hAnsi="Times New Roman" w:cs="Times New Roman"/>
          <w:sz w:val="24"/>
          <w:szCs w:val="24"/>
        </w:rPr>
        <w:t xml:space="preserve"> other (“</w:t>
      </w:r>
      <w:r>
        <w:rPr>
          <w:rFonts w:ascii="Times New Roman" w:eastAsia="Times New Roman" w:hAnsi="Times New Roman" w:cs="Times New Roman"/>
          <w:b/>
          <w:sz w:val="24"/>
          <w:szCs w:val="24"/>
        </w:rPr>
        <w:t>Dispute Notice</w:t>
      </w:r>
      <w:r>
        <w:rPr>
          <w:rFonts w:ascii="Times New Roman" w:eastAsia="Times New Roman" w:hAnsi="Times New Roman" w:cs="Times New Roman"/>
          <w:sz w:val="24"/>
          <w:szCs w:val="24"/>
        </w:rPr>
        <w:t>”), the Parties shall attempt, for a period of thirty (30) days after the receipt by one (1) Party of a notice from the other Party of the existence of a Dispute, to settle such Dispute in the first instance by mutual discussions bet</w:t>
      </w:r>
      <w:r>
        <w:rPr>
          <w:rFonts w:ascii="Times New Roman" w:eastAsia="Times New Roman" w:hAnsi="Times New Roman" w:cs="Times New Roman"/>
          <w:sz w:val="24"/>
          <w:szCs w:val="24"/>
        </w:rPr>
        <w:t xml:space="preserve">ween the senior management of </w:t>
      </w:r>
      <w:r>
        <w:rPr>
          <w:rFonts w:ascii="Times New Roman" w:eastAsia="Times New Roman" w:hAnsi="Times New Roman" w:cs="Times New Roman"/>
          <w:sz w:val="24"/>
          <w:szCs w:val="24"/>
        </w:rPr>
        <w:lastRenderedPageBreak/>
        <w:t>each of the Parties. If the Dispute cannot be settled by mutual discussions within the thirty (30) day period, it shall be referred to and finally resolved by Vietnam International Arbitration Centre (VIAC) beside Vietnam Cham</w:t>
      </w:r>
      <w:r>
        <w:rPr>
          <w:rFonts w:ascii="Times New Roman" w:eastAsia="Times New Roman" w:hAnsi="Times New Roman" w:cs="Times New Roman"/>
          <w:sz w:val="24"/>
          <w:szCs w:val="24"/>
        </w:rPr>
        <w:t>ber of Commerce and Industry (VCCI) in accordance with the Arbitration Rules of the Vietnam International Arbitration Centre (“VIAC Rules”) for the time being in force, which rules are deemed to be incorporated by reference in this clause. There will be th</w:t>
      </w:r>
      <w:r>
        <w:rPr>
          <w:rFonts w:ascii="Times New Roman" w:eastAsia="Times New Roman" w:hAnsi="Times New Roman" w:cs="Times New Roman"/>
          <w:sz w:val="24"/>
          <w:szCs w:val="24"/>
        </w:rPr>
        <w:t xml:space="preserve">ree (3) arbitrators and the language of the arbitration shall be Vietnamese. </w:t>
      </w:r>
    </w:p>
    <w:p w14:paraId="7CC70194" w14:textId="77777777" w:rsidR="00B116C4" w:rsidRDefault="009F4061">
      <w:pPr>
        <w:numPr>
          <w:ilvl w:val="0"/>
          <w:numId w:val="1"/>
        </w:numPr>
        <w:spacing w:before="200" w:after="200"/>
        <w:ind w:left="54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may be executed in one or more counterparts and may be delivered by electronic PDF or facsimile transmission, all of which shall be considered one and the same agr</w:t>
      </w:r>
      <w:r>
        <w:rPr>
          <w:rFonts w:ascii="Times New Roman" w:eastAsia="Times New Roman" w:hAnsi="Times New Roman" w:cs="Times New Roman"/>
          <w:sz w:val="24"/>
          <w:szCs w:val="24"/>
        </w:rPr>
        <w:t>eement and each of which shall be deemed an original.</w:t>
      </w:r>
    </w:p>
    <w:p w14:paraId="79947A08" w14:textId="77777777" w:rsidR="00B116C4" w:rsidRDefault="00B116C4">
      <w:pPr>
        <w:spacing w:before="200" w:after="200"/>
        <w:jc w:val="both"/>
        <w:rPr>
          <w:rFonts w:ascii="Times New Roman" w:eastAsia="Times New Roman" w:hAnsi="Times New Roman" w:cs="Times New Roman"/>
          <w:sz w:val="24"/>
          <w:szCs w:val="24"/>
        </w:rPr>
      </w:pPr>
    </w:p>
    <w:p w14:paraId="501A7B11" w14:textId="77777777" w:rsidR="00B116C4" w:rsidRDefault="009F4061" w:rsidP="006A027F">
      <w:pPr>
        <w:spacing w:before="200"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rest of this page is intentionally left blank. Signature Page Follows]</w:t>
      </w:r>
    </w:p>
    <w:p w14:paraId="22F02640" w14:textId="77777777" w:rsidR="00B116C4" w:rsidRDefault="00B116C4">
      <w:pPr>
        <w:spacing w:before="200" w:after="200"/>
        <w:jc w:val="both"/>
        <w:rPr>
          <w:rFonts w:ascii="Times New Roman" w:eastAsia="Times New Roman" w:hAnsi="Times New Roman" w:cs="Times New Roman"/>
          <w:b/>
          <w:sz w:val="24"/>
          <w:szCs w:val="24"/>
        </w:rPr>
      </w:pPr>
    </w:p>
    <w:p w14:paraId="71F82E61" w14:textId="77777777" w:rsidR="00B116C4" w:rsidRDefault="00B116C4">
      <w:pPr>
        <w:spacing w:before="200" w:after="200"/>
        <w:jc w:val="both"/>
        <w:rPr>
          <w:rFonts w:ascii="Times New Roman" w:eastAsia="Times New Roman" w:hAnsi="Times New Roman" w:cs="Times New Roman"/>
          <w:b/>
          <w:sz w:val="24"/>
          <w:szCs w:val="24"/>
        </w:rPr>
      </w:pPr>
    </w:p>
    <w:p w14:paraId="591823DE" w14:textId="77777777" w:rsidR="00B116C4" w:rsidRDefault="00B116C4">
      <w:pPr>
        <w:spacing w:before="200" w:after="200"/>
        <w:jc w:val="both"/>
        <w:rPr>
          <w:rFonts w:ascii="Times New Roman" w:eastAsia="Times New Roman" w:hAnsi="Times New Roman" w:cs="Times New Roman"/>
          <w:b/>
          <w:sz w:val="24"/>
          <w:szCs w:val="24"/>
        </w:rPr>
      </w:pPr>
    </w:p>
    <w:p w14:paraId="0E24D365" w14:textId="77777777" w:rsidR="00B116C4" w:rsidRDefault="00B116C4">
      <w:pPr>
        <w:spacing w:before="200" w:after="200"/>
        <w:jc w:val="both"/>
        <w:rPr>
          <w:rFonts w:ascii="Times New Roman" w:eastAsia="Times New Roman" w:hAnsi="Times New Roman" w:cs="Times New Roman"/>
          <w:b/>
          <w:sz w:val="24"/>
          <w:szCs w:val="24"/>
        </w:rPr>
      </w:pPr>
    </w:p>
    <w:p w14:paraId="35CE71B4" w14:textId="77777777" w:rsidR="00B116C4" w:rsidRDefault="00B116C4">
      <w:pPr>
        <w:spacing w:before="200" w:after="200"/>
        <w:jc w:val="both"/>
        <w:rPr>
          <w:rFonts w:ascii="Times New Roman" w:eastAsia="Times New Roman" w:hAnsi="Times New Roman" w:cs="Times New Roman"/>
          <w:b/>
          <w:sz w:val="24"/>
          <w:szCs w:val="24"/>
        </w:rPr>
      </w:pPr>
    </w:p>
    <w:p w14:paraId="4BECE014" w14:textId="77777777" w:rsidR="00B116C4" w:rsidRDefault="00B116C4">
      <w:pPr>
        <w:spacing w:before="200" w:after="200"/>
        <w:jc w:val="both"/>
        <w:rPr>
          <w:rFonts w:ascii="Times New Roman" w:eastAsia="Times New Roman" w:hAnsi="Times New Roman" w:cs="Times New Roman"/>
          <w:b/>
          <w:sz w:val="24"/>
          <w:szCs w:val="24"/>
        </w:rPr>
      </w:pPr>
    </w:p>
    <w:p w14:paraId="595D495D" w14:textId="77777777" w:rsidR="00B116C4" w:rsidRDefault="00B116C4">
      <w:pPr>
        <w:spacing w:before="200" w:after="200"/>
        <w:jc w:val="both"/>
        <w:rPr>
          <w:rFonts w:ascii="Times New Roman" w:eastAsia="Times New Roman" w:hAnsi="Times New Roman" w:cs="Times New Roman"/>
          <w:b/>
          <w:sz w:val="24"/>
          <w:szCs w:val="24"/>
        </w:rPr>
      </w:pPr>
    </w:p>
    <w:p w14:paraId="6AD4566A" w14:textId="77777777" w:rsidR="00B116C4" w:rsidRDefault="00B116C4">
      <w:pPr>
        <w:spacing w:before="200" w:after="200"/>
        <w:jc w:val="both"/>
        <w:rPr>
          <w:rFonts w:ascii="Times New Roman" w:eastAsia="Times New Roman" w:hAnsi="Times New Roman" w:cs="Times New Roman"/>
          <w:b/>
          <w:sz w:val="24"/>
          <w:szCs w:val="24"/>
        </w:rPr>
      </w:pPr>
    </w:p>
    <w:p w14:paraId="6F041458" w14:textId="77777777" w:rsidR="00B116C4" w:rsidRDefault="00B116C4">
      <w:pPr>
        <w:spacing w:before="200" w:after="200"/>
        <w:jc w:val="both"/>
        <w:rPr>
          <w:rFonts w:ascii="Times New Roman" w:eastAsia="Times New Roman" w:hAnsi="Times New Roman" w:cs="Times New Roman"/>
          <w:b/>
          <w:sz w:val="24"/>
          <w:szCs w:val="24"/>
        </w:rPr>
      </w:pPr>
    </w:p>
    <w:p w14:paraId="0A8D6D48" w14:textId="77777777" w:rsidR="00B116C4" w:rsidRDefault="00B116C4">
      <w:pPr>
        <w:spacing w:before="200" w:after="200"/>
        <w:jc w:val="both"/>
        <w:rPr>
          <w:rFonts w:ascii="Times New Roman" w:eastAsia="Times New Roman" w:hAnsi="Times New Roman" w:cs="Times New Roman"/>
          <w:b/>
          <w:sz w:val="24"/>
          <w:szCs w:val="24"/>
        </w:rPr>
      </w:pPr>
    </w:p>
    <w:p w14:paraId="6EA619A0" w14:textId="77777777" w:rsidR="00B116C4" w:rsidRDefault="00B116C4">
      <w:pPr>
        <w:spacing w:before="200" w:after="200"/>
        <w:jc w:val="both"/>
        <w:rPr>
          <w:rFonts w:ascii="Times New Roman" w:eastAsia="Times New Roman" w:hAnsi="Times New Roman" w:cs="Times New Roman"/>
          <w:b/>
          <w:sz w:val="24"/>
          <w:szCs w:val="24"/>
        </w:rPr>
      </w:pPr>
    </w:p>
    <w:p w14:paraId="75321159" w14:textId="77777777" w:rsidR="00B116C4" w:rsidRDefault="00B116C4">
      <w:pPr>
        <w:spacing w:before="200" w:after="200"/>
        <w:jc w:val="both"/>
        <w:rPr>
          <w:rFonts w:ascii="Times New Roman" w:eastAsia="Times New Roman" w:hAnsi="Times New Roman" w:cs="Times New Roman"/>
          <w:b/>
          <w:sz w:val="24"/>
          <w:szCs w:val="24"/>
        </w:rPr>
      </w:pPr>
    </w:p>
    <w:p w14:paraId="1CD077D9" w14:textId="77777777" w:rsidR="00B116C4" w:rsidRDefault="00B116C4">
      <w:pPr>
        <w:spacing w:before="200" w:after="200"/>
        <w:jc w:val="both"/>
        <w:rPr>
          <w:rFonts w:ascii="Times New Roman" w:eastAsia="Times New Roman" w:hAnsi="Times New Roman" w:cs="Times New Roman"/>
          <w:b/>
          <w:sz w:val="24"/>
          <w:szCs w:val="24"/>
        </w:rPr>
      </w:pPr>
    </w:p>
    <w:p w14:paraId="4DFA4574" w14:textId="77777777" w:rsidR="006A027F" w:rsidRDefault="006A02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49284B2" w14:textId="07547432" w:rsidR="00B116C4" w:rsidRDefault="009F4061">
      <w:pPr>
        <w:spacing w:before="200" w:after="200"/>
        <w:jc w:val="both"/>
        <w:rPr>
          <w:rFonts w:ascii="LinePrinter" w:eastAsia="LinePrinter" w:hAnsi="LinePrinter" w:cs="LinePrinter"/>
          <w:sz w:val="20"/>
          <w:szCs w:val="20"/>
        </w:rPr>
      </w:pPr>
      <w:r>
        <w:rPr>
          <w:rFonts w:ascii="Times New Roman" w:eastAsia="Times New Roman" w:hAnsi="Times New Roman" w:cs="Times New Roman"/>
          <w:b/>
          <w:sz w:val="24"/>
          <w:szCs w:val="24"/>
        </w:rPr>
        <w:lastRenderedPageBreak/>
        <w:t>IN WITNESS WHEREOF</w:t>
      </w:r>
      <w:r>
        <w:rPr>
          <w:rFonts w:ascii="Times New Roman" w:eastAsia="Times New Roman" w:hAnsi="Times New Roman" w:cs="Times New Roman"/>
          <w:sz w:val="24"/>
          <w:szCs w:val="24"/>
        </w:rPr>
        <w:t>, the Parties agree to the foregoing on the date first above written.</w:t>
      </w:r>
    </w:p>
    <w:p w14:paraId="03F9515F" w14:textId="77777777" w:rsidR="00B116C4" w:rsidRDefault="00B116C4">
      <w:pPr>
        <w:spacing w:before="200" w:after="200"/>
        <w:jc w:val="both"/>
        <w:rPr>
          <w:rFonts w:ascii="LinePrinter" w:eastAsia="LinePrinter" w:hAnsi="LinePrinter" w:cs="LinePrinter"/>
          <w:sz w:val="20"/>
          <w:szCs w:val="20"/>
        </w:rPr>
      </w:pPr>
    </w:p>
    <w:p w14:paraId="0EB35F8A" w14:textId="77777777" w:rsidR="00B116C4" w:rsidRDefault="00B116C4">
      <w:pPr>
        <w:spacing w:before="200" w:after="200"/>
        <w:jc w:val="both"/>
        <w:rPr>
          <w:b/>
          <w:sz w:val="20"/>
          <w:szCs w:val="20"/>
        </w:rPr>
      </w:pPr>
    </w:p>
    <w:tbl>
      <w:tblPr>
        <w:tblStyle w:val="a"/>
        <w:tblW w:w="9225" w:type="dxa"/>
        <w:tblInd w:w="-34" w:type="dxa"/>
        <w:tblLayout w:type="fixed"/>
        <w:tblLook w:val="0400" w:firstRow="0" w:lastRow="0" w:firstColumn="0" w:lastColumn="0" w:noHBand="0" w:noVBand="1"/>
      </w:tblPr>
      <w:tblGrid>
        <w:gridCol w:w="5025"/>
        <w:gridCol w:w="4200"/>
      </w:tblGrid>
      <w:tr w:rsidR="00B116C4" w14:paraId="30FD5B70" w14:textId="77777777">
        <w:trPr>
          <w:trHeight w:val="180"/>
        </w:trPr>
        <w:tc>
          <w:tcPr>
            <w:tcW w:w="5025" w:type="dxa"/>
          </w:tcPr>
          <w:p w14:paraId="1264E330" w14:textId="45727010" w:rsidR="00B116C4" w:rsidRDefault="009F4061">
            <w:pPr>
              <w:spacing w:before="200"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Company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r>
          </w:p>
        </w:tc>
        <w:tc>
          <w:tcPr>
            <w:tcW w:w="4200" w:type="dxa"/>
          </w:tcPr>
          <w:p w14:paraId="436C68CD" w14:textId="5241E217" w:rsidR="00B116C4" w:rsidRPr="006A027F" w:rsidRDefault="009F4061">
            <w:pPr>
              <w:spacing w:before="200" w:after="20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Company </w:t>
            </w:r>
            <w:r w:rsidR="006A027F">
              <w:rPr>
                <w:rFonts w:ascii="Times New Roman" w:eastAsia="Times New Roman" w:hAnsi="Times New Roman" w:cs="Times New Roman"/>
                <w:b/>
                <w:sz w:val="24"/>
                <w:szCs w:val="24"/>
                <w:lang w:val="en-US"/>
              </w:rPr>
              <w:t>2</w:t>
            </w:r>
          </w:p>
        </w:tc>
      </w:tr>
      <w:tr w:rsidR="00B116C4" w14:paraId="332E1437" w14:textId="77777777">
        <w:tc>
          <w:tcPr>
            <w:tcW w:w="5025" w:type="dxa"/>
          </w:tcPr>
          <w:p w14:paraId="02A99ECC" w14:textId="77777777" w:rsidR="00B116C4" w:rsidRDefault="00B116C4">
            <w:pPr>
              <w:spacing w:before="200" w:after="200"/>
              <w:ind w:right="270"/>
              <w:jc w:val="both"/>
              <w:rPr>
                <w:rFonts w:ascii="Times New Roman" w:eastAsia="Times New Roman" w:hAnsi="Times New Roman" w:cs="Times New Roman"/>
                <w:b/>
                <w:sz w:val="24"/>
                <w:szCs w:val="24"/>
              </w:rPr>
            </w:pPr>
          </w:p>
          <w:p w14:paraId="403DBA0C" w14:textId="77777777" w:rsidR="00B116C4" w:rsidRDefault="00B116C4">
            <w:pPr>
              <w:spacing w:before="200" w:after="200"/>
              <w:ind w:right="270"/>
              <w:jc w:val="both"/>
              <w:rPr>
                <w:rFonts w:ascii="Times New Roman" w:eastAsia="Times New Roman" w:hAnsi="Times New Roman" w:cs="Times New Roman"/>
                <w:b/>
                <w:sz w:val="24"/>
                <w:szCs w:val="24"/>
              </w:rPr>
            </w:pPr>
          </w:p>
          <w:p w14:paraId="1B173236" w14:textId="77777777" w:rsidR="00B116C4" w:rsidRDefault="00B116C4">
            <w:pPr>
              <w:spacing w:before="200" w:after="200"/>
              <w:ind w:right="270"/>
              <w:jc w:val="both"/>
              <w:rPr>
                <w:rFonts w:ascii="Times New Roman" w:eastAsia="Times New Roman" w:hAnsi="Times New Roman" w:cs="Times New Roman"/>
                <w:b/>
                <w:sz w:val="24"/>
                <w:szCs w:val="24"/>
              </w:rPr>
            </w:pPr>
          </w:p>
          <w:p w14:paraId="63EDEF8C" w14:textId="77777777" w:rsidR="00B116C4" w:rsidRDefault="00B116C4">
            <w:pPr>
              <w:spacing w:before="200" w:after="200"/>
              <w:ind w:right="270"/>
              <w:jc w:val="both"/>
              <w:rPr>
                <w:rFonts w:ascii="Times New Roman" w:eastAsia="Times New Roman" w:hAnsi="Times New Roman" w:cs="Times New Roman"/>
                <w:b/>
                <w:sz w:val="24"/>
                <w:szCs w:val="24"/>
              </w:rPr>
            </w:pPr>
          </w:p>
          <w:p w14:paraId="3A0BB4F6" w14:textId="77777777" w:rsidR="00B116C4" w:rsidRDefault="009F4061">
            <w:pPr>
              <w:spacing w:before="200" w:after="200"/>
              <w:ind w:righ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___________________________</w:t>
            </w:r>
          </w:p>
        </w:tc>
        <w:tc>
          <w:tcPr>
            <w:tcW w:w="4200" w:type="dxa"/>
          </w:tcPr>
          <w:p w14:paraId="6E2A18CE" w14:textId="77777777" w:rsidR="00B116C4" w:rsidRDefault="00B116C4">
            <w:pPr>
              <w:spacing w:before="200" w:after="200"/>
              <w:ind w:right="270"/>
              <w:jc w:val="both"/>
              <w:rPr>
                <w:rFonts w:ascii="Times New Roman" w:eastAsia="Times New Roman" w:hAnsi="Times New Roman" w:cs="Times New Roman"/>
                <w:b/>
                <w:sz w:val="24"/>
                <w:szCs w:val="24"/>
              </w:rPr>
            </w:pPr>
          </w:p>
          <w:p w14:paraId="60069610" w14:textId="77777777" w:rsidR="00B116C4" w:rsidRDefault="00B116C4">
            <w:pPr>
              <w:spacing w:before="200" w:after="200"/>
              <w:ind w:right="270"/>
              <w:jc w:val="both"/>
              <w:rPr>
                <w:rFonts w:ascii="Times New Roman" w:eastAsia="Times New Roman" w:hAnsi="Times New Roman" w:cs="Times New Roman"/>
                <w:b/>
                <w:sz w:val="24"/>
                <w:szCs w:val="24"/>
              </w:rPr>
            </w:pPr>
          </w:p>
          <w:p w14:paraId="77B7CE22" w14:textId="77777777" w:rsidR="00B116C4" w:rsidRDefault="00B116C4">
            <w:pPr>
              <w:spacing w:before="200" w:after="200"/>
              <w:ind w:right="270"/>
              <w:jc w:val="both"/>
              <w:rPr>
                <w:rFonts w:ascii="Times New Roman" w:eastAsia="Times New Roman" w:hAnsi="Times New Roman" w:cs="Times New Roman"/>
                <w:b/>
                <w:sz w:val="24"/>
                <w:szCs w:val="24"/>
              </w:rPr>
            </w:pPr>
          </w:p>
          <w:p w14:paraId="616BE4E3" w14:textId="77777777" w:rsidR="00B116C4" w:rsidRDefault="00B116C4">
            <w:pPr>
              <w:spacing w:before="200" w:after="200"/>
              <w:ind w:right="270"/>
              <w:jc w:val="both"/>
              <w:rPr>
                <w:rFonts w:ascii="Times New Roman" w:eastAsia="Times New Roman" w:hAnsi="Times New Roman" w:cs="Times New Roman"/>
                <w:b/>
                <w:sz w:val="24"/>
                <w:szCs w:val="24"/>
              </w:rPr>
            </w:pPr>
          </w:p>
          <w:p w14:paraId="0338C018" w14:textId="77777777" w:rsidR="00B116C4" w:rsidRDefault="009F4061">
            <w:pPr>
              <w:spacing w:before="200" w:after="200"/>
              <w:ind w:righ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___________________________</w:t>
            </w:r>
          </w:p>
        </w:tc>
      </w:tr>
      <w:tr w:rsidR="00B116C4" w14:paraId="19288693" w14:textId="77777777">
        <w:tc>
          <w:tcPr>
            <w:tcW w:w="5025" w:type="dxa"/>
          </w:tcPr>
          <w:p w14:paraId="09CA3E01" w14:textId="77777777" w:rsidR="00B116C4" w:rsidRDefault="009F4061">
            <w:pPr>
              <w:spacing w:before="200" w:after="200"/>
              <w:ind w:righ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4200" w:type="dxa"/>
          </w:tcPr>
          <w:p w14:paraId="2EB96370" w14:textId="77777777" w:rsidR="00B116C4" w:rsidRDefault="009F4061">
            <w:pPr>
              <w:spacing w:before="200" w:after="200"/>
              <w:ind w:righ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r>
      <w:tr w:rsidR="00B116C4" w14:paraId="27C36FF0" w14:textId="77777777">
        <w:tc>
          <w:tcPr>
            <w:tcW w:w="5025" w:type="dxa"/>
          </w:tcPr>
          <w:p w14:paraId="42BF626F" w14:textId="77777777" w:rsidR="00B116C4" w:rsidRDefault="009F4061">
            <w:pPr>
              <w:spacing w:before="200" w:after="200"/>
              <w:ind w:righ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w:t>
            </w:r>
          </w:p>
        </w:tc>
        <w:tc>
          <w:tcPr>
            <w:tcW w:w="4200" w:type="dxa"/>
          </w:tcPr>
          <w:p w14:paraId="43301C88" w14:textId="77777777" w:rsidR="00B116C4" w:rsidRDefault="009F4061">
            <w:pPr>
              <w:spacing w:before="200" w:after="200"/>
              <w:ind w:righ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w:t>
            </w:r>
          </w:p>
        </w:tc>
      </w:tr>
    </w:tbl>
    <w:p w14:paraId="0FAA1E8F" w14:textId="77777777" w:rsidR="00B116C4" w:rsidRDefault="00B116C4">
      <w:pPr>
        <w:widowControl w:val="0"/>
        <w:spacing w:before="200" w:after="200"/>
        <w:jc w:val="both"/>
        <w:rPr>
          <w:rFonts w:ascii="Times New Roman" w:eastAsia="Times New Roman" w:hAnsi="Times New Roman" w:cs="Times New Roman"/>
          <w:b/>
          <w:sz w:val="24"/>
          <w:szCs w:val="24"/>
        </w:rPr>
      </w:pPr>
    </w:p>
    <w:sectPr w:rsidR="00B116C4">
      <w:footerReference w:type="default" r:id="rId10"/>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ui Anh Tuan Nguyen" w:date="2019-10-25T03:37:00Z" w:initials="">
    <w:p w14:paraId="0C631BA9" w14:textId="77777777" w:rsidR="00B116C4" w:rsidRDefault="009F4061">
      <w:pPr>
        <w:widowControl w:val="0"/>
        <w:pBdr>
          <w:top w:val="nil"/>
          <w:left w:val="nil"/>
          <w:bottom w:val="nil"/>
          <w:right w:val="nil"/>
          <w:between w:val="nil"/>
        </w:pBdr>
        <w:spacing w:line="240" w:lineRule="auto"/>
        <w:rPr>
          <w:color w:val="000000"/>
        </w:rPr>
      </w:pPr>
      <w:r>
        <w:rPr>
          <w:color w:val="000000"/>
        </w:rPr>
        <w:t>For example: For Vietnam Esports and Entertainment JSC - VEE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631B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631BA9" w16cid:durableId="247CAA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2FE22" w14:textId="77777777" w:rsidR="009F4061" w:rsidRDefault="009F4061">
      <w:pPr>
        <w:spacing w:line="240" w:lineRule="auto"/>
      </w:pPr>
      <w:r>
        <w:separator/>
      </w:r>
    </w:p>
  </w:endnote>
  <w:endnote w:type="continuationSeparator" w:id="0">
    <w:p w14:paraId="265C8FE7" w14:textId="77777777" w:rsidR="009F4061" w:rsidRDefault="009F4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AD34" w14:textId="77777777" w:rsidR="00B116C4" w:rsidRDefault="009F40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6A027F">
      <w:rPr>
        <w:rFonts w:ascii="Times New Roman" w:eastAsia="Times New Roman" w:hAnsi="Times New Roman" w:cs="Times New Roman"/>
        <w:sz w:val="24"/>
        <w:szCs w:val="24"/>
      </w:rPr>
      <w:fldChar w:fldCharType="separate"/>
    </w:r>
    <w:r w:rsidR="006A027F">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871C5" w14:textId="77777777" w:rsidR="009F4061" w:rsidRDefault="009F4061">
      <w:pPr>
        <w:spacing w:line="240" w:lineRule="auto"/>
      </w:pPr>
      <w:r>
        <w:separator/>
      </w:r>
    </w:p>
  </w:footnote>
  <w:footnote w:type="continuationSeparator" w:id="0">
    <w:p w14:paraId="7291B50A" w14:textId="77777777" w:rsidR="009F4061" w:rsidRDefault="009F40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53D27"/>
    <w:multiLevelType w:val="multilevel"/>
    <w:tmpl w:val="88C42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C4"/>
    <w:rsid w:val="006A027F"/>
    <w:rsid w:val="009F4061"/>
    <w:rsid w:val="00B116C4"/>
    <w:rsid w:val="00D9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6332"/>
  <w15:docId w15:val="{F04D23DD-530F-47BA-9D28-5FC90932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02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1610</Words>
  <Characters>9177</Characters>
  <Application>Microsoft Office Word</Application>
  <DocSecurity>0</DocSecurity>
  <Lines>76</Lines>
  <Paragraphs>21</Paragraphs>
  <ScaleCrop>false</ScaleCrop>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Theu LEGAL</dc:creator>
  <cp:lastModifiedBy>Do</cp:lastModifiedBy>
  <cp:revision>3</cp:revision>
  <dcterms:created xsi:type="dcterms:W3CDTF">2021-06-22T11:33:00Z</dcterms:created>
  <dcterms:modified xsi:type="dcterms:W3CDTF">2021-06-22T11:33:00Z</dcterms:modified>
</cp:coreProperties>
</file>